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1E2A" w14:textId="07E86B85" w:rsidR="008E5315" w:rsidRDefault="00D861C9">
      <w:pPr>
        <w:jc w:val="center"/>
        <w:rPr>
          <w:b/>
          <w:sz w:val="36"/>
        </w:rPr>
      </w:pPr>
      <w:r>
        <w:rPr>
          <w:rFonts w:hint="eastAsia"/>
          <w:b/>
          <w:sz w:val="36"/>
        </w:rPr>
        <w:t>研究業績　英文表記</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42"/>
        <w:gridCol w:w="6758"/>
      </w:tblGrid>
      <w:tr w:rsidR="00AB3AE9" w14:paraId="1E751FBB" w14:textId="77777777" w:rsidTr="00AB3AE9">
        <w:trPr>
          <w:cantSplit/>
          <w:trHeight w:val="553"/>
        </w:trPr>
        <w:tc>
          <w:tcPr>
            <w:tcW w:w="8700" w:type="dxa"/>
            <w:gridSpan w:val="2"/>
            <w:tcBorders>
              <w:top w:val="single" w:sz="6" w:space="0" w:color="auto"/>
              <w:left w:val="single" w:sz="6" w:space="0" w:color="auto"/>
              <w:bottom w:val="single" w:sz="4" w:space="0" w:color="auto"/>
              <w:right w:val="single" w:sz="6" w:space="0" w:color="auto"/>
            </w:tcBorders>
            <w:shd w:val="clear" w:color="auto" w:fill="E2EFD9" w:themeFill="accent6" w:themeFillTint="33"/>
            <w:vAlign w:val="center"/>
          </w:tcPr>
          <w:p w14:paraId="220E6CEA" w14:textId="0CCA3312" w:rsidR="00AB3AE9" w:rsidRPr="00AB3AE9" w:rsidRDefault="00AB3AE9" w:rsidP="00AB3AE9">
            <w:pPr>
              <w:jc w:val="center"/>
              <w:rPr>
                <w:rFonts w:eastAsia="ＭＳ Ｐ明朝"/>
              </w:rPr>
            </w:pPr>
            <w:r w:rsidRPr="00AB3AE9">
              <w:rPr>
                <w:rFonts w:eastAsia="ＭＳ Ｐ明朝"/>
                <w:sz w:val="24"/>
              </w:rPr>
              <w:t>和文</w:t>
            </w:r>
          </w:p>
        </w:tc>
      </w:tr>
      <w:tr w:rsidR="00D861C9" w14:paraId="1352DD61" w14:textId="77777777" w:rsidTr="00AB3AE9">
        <w:trPr>
          <w:cantSplit/>
          <w:trHeight w:val="977"/>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6C13FACC" w14:textId="6C3A325F" w:rsidR="00D861C9" w:rsidRPr="00AB3AE9" w:rsidRDefault="00D861C9" w:rsidP="00AB3AE9">
            <w:pPr>
              <w:jc w:val="center"/>
              <w:rPr>
                <w:rFonts w:eastAsia="ＭＳ Ｐ明朝"/>
                <w:sz w:val="22"/>
              </w:rPr>
            </w:pPr>
            <w:r w:rsidRPr="00AB3AE9">
              <w:rPr>
                <w:rFonts w:eastAsia="ＭＳ Ｐ明朝"/>
                <w:sz w:val="22"/>
              </w:rPr>
              <w:t>表題</w:t>
            </w:r>
          </w:p>
        </w:tc>
        <w:tc>
          <w:tcPr>
            <w:tcW w:w="6758" w:type="dxa"/>
            <w:tcBorders>
              <w:top w:val="single" w:sz="4" w:space="0" w:color="auto"/>
              <w:left w:val="single" w:sz="6" w:space="0" w:color="auto"/>
              <w:bottom w:val="single" w:sz="6" w:space="0" w:color="auto"/>
              <w:right w:val="single" w:sz="6" w:space="0" w:color="auto"/>
            </w:tcBorders>
            <w:vAlign w:val="center"/>
          </w:tcPr>
          <w:p w14:paraId="55896775" w14:textId="54FB4977" w:rsidR="00D861C9" w:rsidRPr="00AD054F" w:rsidRDefault="00832E09" w:rsidP="00AD054F">
            <w:r w:rsidRPr="00832E09">
              <w:t>学生の『音読み』力育成に向けた指導実践</w:t>
            </w:r>
            <w:r w:rsidRPr="00832E09">
              <w:t>―</w:t>
            </w:r>
            <w:r w:rsidRPr="00832E09">
              <w:t>本学の現状と課題</w:t>
            </w:r>
            <w:r w:rsidRPr="00832E09">
              <w:t>―</w:t>
            </w:r>
          </w:p>
        </w:tc>
      </w:tr>
      <w:tr w:rsidR="008E5315" w14:paraId="6C59C293" w14:textId="77777777" w:rsidTr="00AB3AE9">
        <w:trPr>
          <w:cantSplit/>
          <w:trHeight w:val="762"/>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0E4F10CB" w14:textId="79300B6D" w:rsidR="008E5315" w:rsidRPr="00AB3AE9" w:rsidRDefault="00D861C9" w:rsidP="00AB3AE9">
            <w:pPr>
              <w:jc w:val="center"/>
              <w:rPr>
                <w:rFonts w:eastAsia="ＭＳ Ｐ明朝"/>
                <w:sz w:val="22"/>
              </w:rPr>
            </w:pPr>
            <w:r w:rsidRPr="00AB3AE9">
              <w:rPr>
                <w:rFonts w:eastAsia="ＭＳ Ｐ明朝"/>
                <w:sz w:val="22"/>
              </w:rPr>
              <w:t>著者名</w:t>
            </w:r>
          </w:p>
        </w:tc>
        <w:tc>
          <w:tcPr>
            <w:tcW w:w="6758" w:type="dxa"/>
            <w:tcBorders>
              <w:top w:val="single" w:sz="6" w:space="0" w:color="auto"/>
              <w:left w:val="single" w:sz="6" w:space="0" w:color="auto"/>
              <w:bottom w:val="single" w:sz="6" w:space="0" w:color="auto"/>
              <w:right w:val="single" w:sz="6" w:space="0" w:color="auto"/>
            </w:tcBorders>
            <w:vAlign w:val="center"/>
          </w:tcPr>
          <w:p w14:paraId="0A43F6A5" w14:textId="301386B9" w:rsidR="008E5315" w:rsidRPr="00AD054F" w:rsidRDefault="00832E09" w:rsidP="00AD054F">
            <w:r>
              <w:rPr>
                <w:rFonts w:hint="eastAsia"/>
              </w:rPr>
              <w:t>中島　加奈</w:t>
            </w:r>
          </w:p>
        </w:tc>
      </w:tr>
      <w:tr w:rsidR="008E5315" w14:paraId="2C77041B" w14:textId="77777777" w:rsidTr="00AB3AE9">
        <w:trPr>
          <w:cantSplit/>
          <w:trHeight w:val="736"/>
        </w:trPr>
        <w:tc>
          <w:tcPr>
            <w:tcW w:w="1942" w:type="dxa"/>
            <w:tcBorders>
              <w:top w:val="single" w:sz="4" w:space="0" w:color="auto"/>
              <w:left w:val="single" w:sz="6" w:space="0" w:color="auto"/>
              <w:bottom w:val="single" w:sz="6" w:space="0" w:color="auto"/>
              <w:right w:val="single" w:sz="6" w:space="0" w:color="auto"/>
            </w:tcBorders>
            <w:shd w:val="clear" w:color="auto" w:fill="E2EFD9" w:themeFill="accent6" w:themeFillTint="33"/>
            <w:vAlign w:val="center"/>
          </w:tcPr>
          <w:p w14:paraId="4A8A68CE" w14:textId="0DD07905" w:rsidR="008E5315" w:rsidRPr="00AB3AE9" w:rsidRDefault="00D861C9" w:rsidP="00AB3AE9">
            <w:pPr>
              <w:jc w:val="center"/>
              <w:rPr>
                <w:rFonts w:eastAsia="ＭＳ Ｐ明朝"/>
                <w:sz w:val="22"/>
              </w:rPr>
            </w:pPr>
            <w:r w:rsidRPr="00AB3AE9">
              <w:rPr>
                <w:rFonts w:eastAsia="ＭＳ Ｐ明朝"/>
                <w:sz w:val="22"/>
              </w:rPr>
              <w:t>所属</w:t>
            </w:r>
          </w:p>
        </w:tc>
        <w:tc>
          <w:tcPr>
            <w:tcW w:w="6758" w:type="dxa"/>
            <w:tcBorders>
              <w:top w:val="single" w:sz="6" w:space="0" w:color="auto"/>
              <w:left w:val="single" w:sz="6" w:space="0" w:color="auto"/>
              <w:bottom w:val="single" w:sz="6" w:space="0" w:color="auto"/>
              <w:right w:val="single" w:sz="6" w:space="0" w:color="auto"/>
            </w:tcBorders>
            <w:vAlign w:val="center"/>
          </w:tcPr>
          <w:p w14:paraId="53382883" w14:textId="03210543" w:rsidR="0097244B" w:rsidRPr="00AD054F" w:rsidRDefault="00832E09" w:rsidP="00D861C9">
            <w:r>
              <w:rPr>
                <w:rFonts w:hint="eastAsia"/>
              </w:rPr>
              <w:t>西九州大学短期大学部幼児保育学科</w:t>
            </w:r>
          </w:p>
        </w:tc>
      </w:tr>
      <w:tr w:rsidR="00AB3AE9" w14:paraId="3758B873" w14:textId="77777777" w:rsidTr="00AB3AE9">
        <w:trPr>
          <w:cantSplit/>
          <w:trHeight w:val="566"/>
        </w:trPr>
        <w:tc>
          <w:tcPr>
            <w:tcW w:w="8700" w:type="dxa"/>
            <w:gridSpan w:val="2"/>
            <w:tcBorders>
              <w:top w:val="single" w:sz="6" w:space="0" w:color="auto"/>
              <w:left w:val="single" w:sz="6" w:space="0" w:color="auto"/>
              <w:bottom w:val="single" w:sz="4" w:space="0" w:color="auto"/>
              <w:right w:val="single" w:sz="6" w:space="0" w:color="auto"/>
            </w:tcBorders>
            <w:shd w:val="clear" w:color="auto" w:fill="DEEAF6" w:themeFill="accent1" w:themeFillTint="33"/>
            <w:vAlign w:val="center"/>
          </w:tcPr>
          <w:p w14:paraId="0E142EEB" w14:textId="312FDFD7" w:rsidR="00AB3AE9" w:rsidRPr="00684E9F" w:rsidRDefault="00AB3AE9" w:rsidP="00AB3AE9">
            <w:pPr>
              <w:jc w:val="center"/>
              <w:rPr>
                <w:rFonts w:ascii="Times New Roman" w:hAnsi="Times New Roman"/>
                <w:sz w:val="24"/>
              </w:rPr>
            </w:pPr>
            <w:r>
              <w:rPr>
                <w:rFonts w:hint="eastAsia"/>
                <w:sz w:val="24"/>
              </w:rPr>
              <w:t>英文</w:t>
            </w:r>
          </w:p>
        </w:tc>
      </w:tr>
      <w:tr w:rsidR="00D861C9" w14:paraId="024B4271" w14:textId="77777777" w:rsidTr="00AB3AE9">
        <w:trPr>
          <w:cantSplit/>
          <w:trHeight w:val="795"/>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35ECBC0D" w14:textId="1DFB30D8" w:rsidR="00AB3AE9" w:rsidRPr="00AB3AE9" w:rsidRDefault="00AB3AE9" w:rsidP="00AB3AE9">
            <w:pPr>
              <w:jc w:val="center"/>
            </w:pPr>
            <w:r>
              <w:rPr>
                <w:sz w:val="24"/>
              </w:rPr>
              <w:t>Title</w:t>
            </w:r>
          </w:p>
        </w:tc>
        <w:tc>
          <w:tcPr>
            <w:tcW w:w="6758" w:type="dxa"/>
            <w:tcBorders>
              <w:top w:val="single" w:sz="4" w:space="0" w:color="auto"/>
              <w:left w:val="single" w:sz="6" w:space="0" w:color="auto"/>
              <w:bottom w:val="single" w:sz="6" w:space="0" w:color="auto"/>
              <w:right w:val="single" w:sz="6" w:space="0" w:color="auto"/>
            </w:tcBorders>
            <w:vAlign w:val="center"/>
          </w:tcPr>
          <w:p w14:paraId="3E9CAFE3" w14:textId="77777777" w:rsidR="00832E09" w:rsidRPr="00832E09" w:rsidRDefault="00832E09" w:rsidP="00832E09">
            <w:pPr>
              <w:adjustRightInd/>
              <w:jc w:val="center"/>
              <w:textAlignment w:val="auto"/>
              <w:rPr>
                <w:rFonts w:ascii="Times New Roman" w:hAnsi="Times New Roman"/>
                <w:sz w:val="24"/>
                <w:szCs w:val="21"/>
              </w:rPr>
            </w:pPr>
            <w:r w:rsidRPr="00832E09">
              <w:rPr>
                <w:rFonts w:ascii="Times New Roman" w:hAnsi="Times New Roman"/>
                <w:sz w:val="24"/>
                <w:szCs w:val="21"/>
              </w:rPr>
              <w:t>Practice to develop music reading skills</w:t>
            </w:r>
          </w:p>
          <w:p w14:paraId="55F710C5" w14:textId="1C1470B5" w:rsidR="00AD054F" w:rsidRPr="00AD054F" w:rsidRDefault="00832E09" w:rsidP="00832E09">
            <w:r w:rsidRPr="00832E09">
              <w:rPr>
                <w:rFonts w:ascii="Times New Roman" w:hAnsi="Times New Roman"/>
                <w:sz w:val="24"/>
                <w:szCs w:val="21"/>
              </w:rPr>
              <w:t>；</w:t>
            </w:r>
            <w:r w:rsidRPr="00832E09">
              <w:rPr>
                <w:rFonts w:ascii="Times New Roman" w:hAnsi="Times New Roman"/>
                <w:sz w:val="24"/>
                <w:szCs w:val="21"/>
              </w:rPr>
              <w:t>Current status and issues facing students at our university</w:t>
            </w:r>
          </w:p>
        </w:tc>
      </w:tr>
      <w:tr w:rsidR="008E5315" w14:paraId="765397B5" w14:textId="77777777" w:rsidTr="00AB3AE9">
        <w:trPr>
          <w:cantSplit/>
          <w:trHeight w:val="1080"/>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61A8EDC4" w14:textId="33F31148" w:rsidR="008E5315" w:rsidRDefault="00D861C9" w:rsidP="00AB3AE9">
            <w:pPr>
              <w:jc w:val="center"/>
              <w:rPr>
                <w:sz w:val="24"/>
              </w:rPr>
            </w:pPr>
            <w:r>
              <w:rPr>
                <w:rFonts w:hint="eastAsia"/>
                <w:sz w:val="24"/>
              </w:rPr>
              <w:t>Author</w:t>
            </w:r>
          </w:p>
        </w:tc>
        <w:tc>
          <w:tcPr>
            <w:tcW w:w="6758" w:type="dxa"/>
            <w:tcBorders>
              <w:top w:val="single" w:sz="6" w:space="0" w:color="auto"/>
              <w:left w:val="single" w:sz="6" w:space="0" w:color="auto"/>
              <w:bottom w:val="single" w:sz="6" w:space="0" w:color="auto"/>
              <w:right w:val="single" w:sz="6" w:space="0" w:color="auto"/>
            </w:tcBorders>
            <w:vAlign w:val="center"/>
          </w:tcPr>
          <w:p w14:paraId="28B657D0" w14:textId="60DB6CF7" w:rsidR="00684E9F" w:rsidRPr="00AD054F" w:rsidRDefault="00832E09" w:rsidP="00AD054F">
            <w:pPr>
              <w:jc w:val="left"/>
              <w:rPr>
                <w:rFonts w:ascii="Times New Roman" w:hAnsi="Times New Roman"/>
                <w:vertAlign w:val="superscript"/>
              </w:rPr>
            </w:pPr>
            <w:r w:rsidRPr="00832E09">
              <w:rPr>
                <w:szCs w:val="21"/>
              </w:rPr>
              <w:t>Kana N</w:t>
            </w:r>
            <w:r w:rsidRPr="00832E09">
              <w:rPr>
                <w:sz w:val="18"/>
                <w:szCs w:val="21"/>
              </w:rPr>
              <w:t>AKASHIMA</w:t>
            </w:r>
          </w:p>
        </w:tc>
      </w:tr>
      <w:tr w:rsidR="008E5315" w14:paraId="261DD183" w14:textId="77777777" w:rsidTr="0078241D">
        <w:trPr>
          <w:cantSplit/>
          <w:trHeight w:val="930"/>
        </w:trPr>
        <w:tc>
          <w:tcPr>
            <w:tcW w:w="1942" w:type="dxa"/>
            <w:tcBorders>
              <w:top w:val="single" w:sz="4" w:space="0" w:color="auto"/>
              <w:left w:val="single" w:sz="6" w:space="0" w:color="auto"/>
              <w:bottom w:val="single" w:sz="6" w:space="0" w:color="auto"/>
              <w:right w:val="single" w:sz="6" w:space="0" w:color="auto"/>
            </w:tcBorders>
            <w:shd w:val="clear" w:color="auto" w:fill="DEEAF6" w:themeFill="accent1" w:themeFillTint="33"/>
            <w:vAlign w:val="center"/>
          </w:tcPr>
          <w:p w14:paraId="7FEFF017" w14:textId="2E689AFD" w:rsidR="008E5315" w:rsidRDefault="00D861C9" w:rsidP="00AB3AE9">
            <w:pPr>
              <w:jc w:val="center"/>
              <w:rPr>
                <w:sz w:val="24"/>
              </w:rPr>
            </w:pPr>
            <w:r w:rsidRPr="00AB3AE9">
              <w:rPr>
                <w:sz w:val="24"/>
              </w:rPr>
              <w:t>Affiliation</w:t>
            </w:r>
          </w:p>
        </w:tc>
        <w:tc>
          <w:tcPr>
            <w:tcW w:w="6758" w:type="dxa"/>
            <w:tcBorders>
              <w:top w:val="single" w:sz="6" w:space="0" w:color="auto"/>
              <w:left w:val="single" w:sz="6" w:space="0" w:color="auto"/>
              <w:bottom w:val="single" w:sz="6" w:space="0" w:color="auto"/>
              <w:right w:val="single" w:sz="6" w:space="0" w:color="auto"/>
            </w:tcBorders>
            <w:vAlign w:val="center"/>
          </w:tcPr>
          <w:p w14:paraId="2431D0A3" w14:textId="7AE570C8" w:rsidR="00A34E99" w:rsidRPr="00832E09" w:rsidRDefault="00832E09" w:rsidP="00D861C9">
            <w:pPr>
              <w:rPr>
                <w:rFonts w:ascii="Times New Roman" w:eastAsia="ＭＳ ゴシック" w:hAnsi="Times New Roman"/>
              </w:rPr>
            </w:pPr>
            <w:r w:rsidRPr="00832E09">
              <w:rPr>
                <w:rFonts w:ascii="Times New Roman" w:eastAsia="ＭＳ ゴシック" w:hAnsi="Times New Roman"/>
              </w:rPr>
              <w:t xml:space="preserve">Department of Early Childhood Education and Care, </w:t>
            </w:r>
            <w:proofErr w:type="spellStart"/>
            <w:r w:rsidRPr="00832E09">
              <w:rPr>
                <w:rFonts w:ascii="Times New Roman" w:eastAsia="ＭＳ ゴシック" w:hAnsi="Times New Roman"/>
              </w:rPr>
              <w:t>Nishikyusyu</w:t>
            </w:r>
            <w:proofErr w:type="spellEnd"/>
            <w:r w:rsidRPr="00832E09">
              <w:rPr>
                <w:rFonts w:ascii="Times New Roman" w:eastAsia="ＭＳ ゴシック" w:hAnsi="Times New Roman"/>
              </w:rPr>
              <w:t xml:space="preserve"> University Junior College</w:t>
            </w:r>
          </w:p>
        </w:tc>
      </w:tr>
      <w:tr w:rsidR="008E5315" w:rsidRPr="00434F77" w14:paraId="4238273F" w14:textId="77777777" w:rsidTr="0078241D">
        <w:trPr>
          <w:cantSplit/>
          <w:trHeight w:val="2969"/>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5CDEFDE3" w14:textId="78BBE734" w:rsidR="00AB3AE9" w:rsidRDefault="00AB3AE9" w:rsidP="00AB3AE9">
            <w:pPr>
              <w:jc w:val="center"/>
              <w:rPr>
                <w:sz w:val="24"/>
              </w:rPr>
            </w:pPr>
            <w:r>
              <w:rPr>
                <w:rFonts w:hint="eastAsia"/>
                <w:sz w:val="24"/>
              </w:rPr>
              <w:t>Abstract</w:t>
            </w:r>
          </w:p>
        </w:tc>
        <w:tc>
          <w:tcPr>
            <w:tcW w:w="6758" w:type="dxa"/>
            <w:tcBorders>
              <w:top w:val="single" w:sz="6" w:space="0" w:color="auto"/>
              <w:left w:val="single" w:sz="6" w:space="0" w:color="auto"/>
              <w:bottom w:val="single" w:sz="6" w:space="0" w:color="auto"/>
              <w:right w:val="single" w:sz="6" w:space="0" w:color="auto"/>
            </w:tcBorders>
            <w:vAlign w:val="center"/>
          </w:tcPr>
          <w:p w14:paraId="71BEDD2E" w14:textId="7A344D44" w:rsidR="00434F77" w:rsidRPr="00AD054F" w:rsidRDefault="00832E09" w:rsidP="00D861C9">
            <w:r w:rsidRPr="00832E09">
              <w:rPr>
                <w:szCs w:val="21"/>
              </w:rPr>
              <w:t>We developed and analyzed a training program specifically designed for beginner piano learners in early childhood teacher preparation programs, focusing exclusively on activities that cultivate the ability to read pitch. An increase in the number of correct responses was observed in many students. In addition, they perceived an improvement in their music-reading ability. On the other hand, challenges such as insufficient ability to read the bass clef and errors in descending note sequences were also identified.</w:t>
            </w:r>
          </w:p>
        </w:tc>
      </w:tr>
      <w:tr w:rsidR="00AB3AE9" w:rsidRPr="00434F77" w14:paraId="37A74715" w14:textId="77777777" w:rsidTr="00AB3AE9">
        <w:trPr>
          <w:cantSplit/>
          <w:trHeight w:val="470"/>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407A7B19" w14:textId="13153633" w:rsidR="00AB3AE9" w:rsidRDefault="00AB3AE9" w:rsidP="00AB3AE9">
            <w:pPr>
              <w:jc w:val="center"/>
              <w:rPr>
                <w:sz w:val="24"/>
              </w:rPr>
            </w:pPr>
            <w:r>
              <w:rPr>
                <w:sz w:val="24"/>
              </w:rPr>
              <w:t>keyword</w:t>
            </w:r>
          </w:p>
        </w:tc>
        <w:tc>
          <w:tcPr>
            <w:tcW w:w="6758" w:type="dxa"/>
            <w:tcBorders>
              <w:top w:val="single" w:sz="6" w:space="0" w:color="auto"/>
              <w:left w:val="single" w:sz="6" w:space="0" w:color="auto"/>
              <w:bottom w:val="single" w:sz="6" w:space="0" w:color="auto"/>
              <w:right w:val="single" w:sz="6" w:space="0" w:color="auto"/>
            </w:tcBorders>
            <w:vAlign w:val="center"/>
          </w:tcPr>
          <w:p w14:paraId="47F33CAE" w14:textId="77777777" w:rsidR="00832E09" w:rsidRPr="00832E09" w:rsidRDefault="00832E09" w:rsidP="00832E09">
            <w:pPr>
              <w:adjustRightInd/>
              <w:textAlignment w:val="auto"/>
              <w:rPr>
                <w:sz w:val="24"/>
                <w:szCs w:val="21"/>
              </w:rPr>
            </w:pPr>
            <w:r w:rsidRPr="00832E09">
              <w:rPr>
                <w:sz w:val="24"/>
                <w:szCs w:val="21"/>
              </w:rPr>
              <w:t xml:space="preserve">読譜　</w:t>
            </w:r>
            <w:r w:rsidRPr="00832E09">
              <w:rPr>
                <w:sz w:val="24"/>
                <w:szCs w:val="21"/>
              </w:rPr>
              <w:t>reading music</w:t>
            </w:r>
          </w:p>
          <w:p w14:paraId="596BB4C7" w14:textId="77777777" w:rsidR="00832E09" w:rsidRPr="00832E09" w:rsidRDefault="00832E09" w:rsidP="00832E09">
            <w:pPr>
              <w:adjustRightInd/>
              <w:textAlignment w:val="auto"/>
              <w:rPr>
                <w:sz w:val="24"/>
                <w:szCs w:val="21"/>
              </w:rPr>
            </w:pPr>
            <w:r w:rsidRPr="00832E09">
              <w:rPr>
                <w:sz w:val="24"/>
                <w:szCs w:val="21"/>
              </w:rPr>
              <w:t xml:space="preserve">保育者養成　</w:t>
            </w:r>
            <w:r w:rsidRPr="00832E09">
              <w:rPr>
                <w:sz w:val="24"/>
                <w:szCs w:val="21"/>
              </w:rPr>
              <w:t>training childcare workers</w:t>
            </w:r>
          </w:p>
          <w:p w14:paraId="35D14094" w14:textId="140320C5" w:rsidR="00AB3AE9" w:rsidRDefault="00832E09" w:rsidP="00832E09">
            <w:pPr>
              <w:rPr>
                <w:sz w:val="24"/>
              </w:rPr>
            </w:pPr>
            <w:r w:rsidRPr="00832E09">
              <w:rPr>
                <w:sz w:val="24"/>
                <w:szCs w:val="21"/>
              </w:rPr>
              <w:t xml:space="preserve">ピアノ初学者　</w:t>
            </w:r>
            <w:r w:rsidRPr="00832E09">
              <w:rPr>
                <w:sz w:val="24"/>
                <w:szCs w:val="21"/>
              </w:rPr>
              <w:t>beginner of playing the piano</w:t>
            </w:r>
          </w:p>
        </w:tc>
      </w:tr>
    </w:tbl>
    <w:p w14:paraId="4AF74B13" w14:textId="5E88CBF2" w:rsidR="008E5315" w:rsidRPr="00AB3AE9" w:rsidRDefault="00AB3AE9" w:rsidP="00AB3AE9">
      <w:pPr>
        <w:rPr>
          <w:sz w:val="22"/>
        </w:rPr>
      </w:pPr>
      <w:r w:rsidRPr="00AB3AE9">
        <w:rPr>
          <w:rFonts w:hint="eastAsia"/>
          <w:sz w:val="22"/>
        </w:rPr>
        <w:t>※本データの英文表記は実際の論文上の表記とは異なります。実際の論文の表記については、紀要執筆要綱に記載されています。</w:t>
      </w:r>
    </w:p>
    <w:sectPr w:rsidR="008E5315" w:rsidRPr="00AB3AE9" w:rsidSect="0046618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BB8A1" w14:textId="77777777" w:rsidR="00650CCA" w:rsidRDefault="00650CCA" w:rsidP="007B02FF">
      <w:r>
        <w:separator/>
      </w:r>
    </w:p>
  </w:endnote>
  <w:endnote w:type="continuationSeparator" w:id="0">
    <w:p w14:paraId="35995F5D" w14:textId="77777777" w:rsidR="00650CCA" w:rsidRDefault="00650CCA" w:rsidP="007B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CA4DD" w14:textId="77777777" w:rsidR="00650CCA" w:rsidRDefault="00650CCA" w:rsidP="007B02FF">
      <w:r>
        <w:separator/>
      </w:r>
    </w:p>
  </w:footnote>
  <w:footnote w:type="continuationSeparator" w:id="0">
    <w:p w14:paraId="77747A63" w14:textId="77777777" w:rsidR="00650CCA" w:rsidRDefault="00650CCA" w:rsidP="007B0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D0EAF"/>
    <w:multiLevelType w:val="hybridMultilevel"/>
    <w:tmpl w:val="182E1EA0"/>
    <w:lvl w:ilvl="0" w:tplc="8C3AF8B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626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86"/>
    <w:rsid w:val="000A3A79"/>
    <w:rsid w:val="001910F5"/>
    <w:rsid w:val="002A4000"/>
    <w:rsid w:val="002E17AB"/>
    <w:rsid w:val="0038113F"/>
    <w:rsid w:val="00434F77"/>
    <w:rsid w:val="00466186"/>
    <w:rsid w:val="00523B37"/>
    <w:rsid w:val="00650CCA"/>
    <w:rsid w:val="00684E9F"/>
    <w:rsid w:val="006850C2"/>
    <w:rsid w:val="00693E22"/>
    <w:rsid w:val="00710B0C"/>
    <w:rsid w:val="00712D75"/>
    <w:rsid w:val="0072697B"/>
    <w:rsid w:val="0078241D"/>
    <w:rsid w:val="007B02FF"/>
    <w:rsid w:val="00832E09"/>
    <w:rsid w:val="008E5315"/>
    <w:rsid w:val="0097244B"/>
    <w:rsid w:val="009B4DDB"/>
    <w:rsid w:val="00A34E99"/>
    <w:rsid w:val="00AB3AE9"/>
    <w:rsid w:val="00AD054F"/>
    <w:rsid w:val="00B03914"/>
    <w:rsid w:val="00B44873"/>
    <w:rsid w:val="00B725D1"/>
    <w:rsid w:val="00BE0019"/>
    <w:rsid w:val="00CC612A"/>
    <w:rsid w:val="00D861C9"/>
    <w:rsid w:val="00DA1058"/>
    <w:rsid w:val="00DD2511"/>
    <w:rsid w:val="00DF0D33"/>
    <w:rsid w:val="00E17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6AA594"/>
  <w15:chartTrackingRefBased/>
  <w15:docId w15:val="{081BDF81-CE63-4E83-967E-562D3AD6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2FF"/>
    <w:pPr>
      <w:tabs>
        <w:tab w:val="center" w:pos="4252"/>
        <w:tab w:val="right" w:pos="8504"/>
      </w:tabs>
      <w:snapToGrid w:val="0"/>
    </w:pPr>
  </w:style>
  <w:style w:type="character" w:customStyle="1" w:styleId="a4">
    <w:name w:val="ヘッダー (文字)"/>
    <w:basedOn w:val="a0"/>
    <w:link w:val="a3"/>
    <w:rsid w:val="007B02FF"/>
    <w:rPr>
      <w:kern w:val="2"/>
      <w:sz w:val="21"/>
    </w:rPr>
  </w:style>
  <w:style w:type="paragraph" w:styleId="a5">
    <w:name w:val="footer"/>
    <w:basedOn w:val="a"/>
    <w:link w:val="a6"/>
    <w:rsid w:val="007B02FF"/>
    <w:pPr>
      <w:tabs>
        <w:tab w:val="center" w:pos="4252"/>
        <w:tab w:val="right" w:pos="8504"/>
      </w:tabs>
      <w:snapToGrid w:val="0"/>
    </w:pPr>
  </w:style>
  <w:style w:type="character" w:customStyle="1" w:styleId="a6">
    <w:name w:val="フッター (文字)"/>
    <w:basedOn w:val="a0"/>
    <w:link w:val="a5"/>
    <w:rsid w:val="007B02FF"/>
    <w:rPr>
      <w:kern w:val="2"/>
      <w:sz w:val="21"/>
    </w:rPr>
  </w:style>
  <w:style w:type="paragraph" w:styleId="a7">
    <w:name w:val="Balloon Text"/>
    <w:basedOn w:val="a"/>
    <w:link w:val="a8"/>
    <w:rsid w:val="00434F77"/>
    <w:rPr>
      <w:rFonts w:asciiTheme="majorHAnsi" w:eastAsiaTheme="majorEastAsia" w:hAnsiTheme="majorHAnsi" w:cstheme="majorBidi"/>
      <w:sz w:val="18"/>
      <w:szCs w:val="18"/>
    </w:rPr>
  </w:style>
  <w:style w:type="character" w:customStyle="1" w:styleId="a8">
    <w:name w:val="吹き出し (文字)"/>
    <w:basedOn w:val="a0"/>
    <w:link w:val="a7"/>
    <w:rsid w:val="00434F7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850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論文表紙</vt:lpstr>
      <vt:lpstr>論文表紙</vt:lpstr>
    </vt:vector>
  </TitlesOfParts>
  <Company>学校法人永原学園</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論文表紙</dc:title>
  <dc:subject/>
  <dc:creator>西九州大学</dc:creator>
  <cp:keywords/>
  <dc:description/>
  <cp:lastModifiedBy>中島加奈</cp:lastModifiedBy>
  <cp:revision>2</cp:revision>
  <cp:lastPrinted>2022-03-08T06:33:00Z</cp:lastPrinted>
  <dcterms:created xsi:type="dcterms:W3CDTF">2026-05-25T03:08:00Z</dcterms:created>
  <dcterms:modified xsi:type="dcterms:W3CDTF">2026-05-25T03:08:00Z</dcterms:modified>
</cp:coreProperties>
</file>